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lachi-1"/>
    <w:p>
      <w:pPr>
        <w:pStyle w:val="Heading1"/>
      </w:pPr>
      <w:r>
        <w:t xml:space="preserve">Homiletics Analysis: Malachi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Malachi 1 opens the final prophetic book of the Hebrew canon with a divine declaration of covenant love met by Israel’s skeptical question:</w:t>
      </w:r>
      <w:r>
        <w:t xml:space="preserve"> </w:t>
      </w:r>
      <w:r>
        <w:t xml:space="preserve">“How have you loved us?”</w:t>
      </w:r>
      <w:r>
        <w:t xml:space="preserve"> </w:t>
      </w:r>
      <w:r>
        <w:t xml:space="preserve">(v. 2). The LORD answers by pointing to the contrasting destinies of Esau/Edom and Jacob/Israel — not as nations who earned different treatment, but as objects of sovereign election. Edom may rebuild; God will tear down. Israel’s problem is not that God has failed to love them — it is that they have failed to respond to that love with fitting worship.</w:t>
      </w:r>
    </w:p>
    <w:p>
      <w:pPr>
        <w:pStyle w:val="BodyText"/>
      </w:pPr>
      <w:r>
        <w:t xml:space="preserve">The chapter pivots sharply in verse 6. A son honors his father; a servant honors his master. If the LORD is father and master, where is the honor due Him? The priests — who should model covenant faithfulness — are offering blind, lame, and diseased animals on the altar. They are giving God what costs them nothing, what their own governor would refuse at his table. The LORD declares He would rather the Temple doors be shut than that this hollow worship continue. His name is great among the nations, but His own priests despise it. The chapter closes with a denunciation of the priests’ contemptuous attitude — they call the altar</w:t>
      </w:r>
      <w:r>
        <w:t xml:space="preserve"> </w:t>
      </w:r>
      <w:r>
        <w:t xml:space="preserve">“a burden”</w:t>
      </w:r>
      <w:r>
        <w:t xml:space="preserve"> </w:t>
      </w:r>
      <w:r>
        <w:t xml:space="preserve">and the offering</w:t>
      </w:r>
      <w:r>
        <w:t xml:space="preserve"> </w:t>
      </w:r>
      <w:r>
        <w:t xml:space="preserve">“a snare,”</w:t>
      </w:r>
      <w:r>
        <w:t xml:space="preserve"> </w:t>
      </w:r>
      <w:r>
        <w:t xml:space="preserve">sniffing at worship as an inconvenience (v. 13).</w:t>
      </w:r>
    </w:p>
    <w:p>
      <w:pPr>
        <w:pStyle w:val="BodyText"/>
      </w:pPr>
      <w:r>
        <w:rPr>
          <w:b/>
          <w:bCs/>
        </w:rPr>
        <w:t xml:space="preserve">This Text — Intent</w:t>
      </w:r>
    </w:p>
    <w:p>
      <w:pPr>
        <w:pStyle w:val="BodyText"/>
      </w:pPr>
      <w:r>
        <w:t xml:space="preserve">God is confronting His people — specifically His priests and their leadership — with the dishonor embedded in their religious routine. The intent is not merely to correct a liturgical error but to expose a deeper defection: a people who believe they are maintaining a religious relationship with God while their worship reveals contempt for Him. God is seeking to break through the complacency of those who go through the motions while their hearts have long since checked out. He is calling for genuine reverence — worship that costs something, that reflects the actual weight and worth of the One being worshipped. The passage aims to produce holy discomfort in anyone who has reduced God to a manageable religious obligation.</w:t>
      </w:r>
    </w:p>
    <w:p>
      <w:r>
        <w:pict>
          <v:rect style="width:0;height:1.5pt" o:hralign="center" o:hrstd="t" o:hr="t"/>
        </w:pict>
      </w:r>
    </w:p>
    <w:p>
      <w:pPr>
        <w:pStyle w:val="FirstParagraph"/>
      </w:pPr>
      <w:r>
        <w:rPr>
          <w:b/>
          <w:bCs/>
        </w:rPr>
        <w:t xml:space="preserve">Subject Sentence:</w:t>
      </w:r>
      <w:r>
        <w:t xml:space="preserve"> </w:t>
      </w:r>
      <w:r>
        <w:t xml:space="preserve">God confronts Israel’s contemptuous worship as a betrayal of covenant love received.</w:t>
      </w:r>
    </w:p>
    <w:p>
      <w:r>
        <w:pict>
          <v:rect style="width:0;height:1.5pt" o:hralign="center" o:hrstd="t" o:hr="t"/>
        </w:pict>
      </w:r>
    </w:p>
    <w:p>
      <w:pPr>
        <w:pStyle w:val="FirstParagraph"/>
      </w:pPr>
      <w:r>
        <w:rPr>
          <w:b/>
          <w:bCs/>
        </w:rPr>
        <w:t xml:space="preserve">Primary Claim:</w:t>
      </w:r>
      <w:r>
        <w:t xml:space="preserve"> </w:t>
      </w:r>
      <w:r>
        <w:t xml:space="preserve">Because God has loved His people with sovereign, electing love, hollow and half-hearted worship is not merely a liturgical failure — it is a covenant insult; and God will not receive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election language in verses 2-5 (Jacob loved, Esau hated)</w:t>
      </w:r>
    </w:p>
    <w:p>
      <w:pPr>
        <w:pStyle w:val="BodyText"/>
      </w:pPr>
      <w:r>
        <w:t xml:space="preserve">The most theologically charged text in this chapter is the divine declaration</w:t>
      </w:r>
      <w:r>
        <w:t xml:space="preserve"> </w:t>
      </w:r>
      <w:r>
        <w:t xml:space="preserve">“Jacob I loved, but Esau I hated”</w:t>
      </w:r>
      <w:r>
        <w:t xml:space="preserve"> </w:t>
      </w:r>
      <w:r>
        <w:t xml:space="preserve">(v. 2-3), quoted directly by Paul in Romans 9:13. Three readings compete here.</w:t>
      </w:r>
    </w:p>
    <w:p>
      <w:pPr>
        <w:pStyle w:val="BodyText"/>
      </w:pPr>
      <w:r>
        <w:t xml:space="preserve">The</w:t>
      </w:r>
      <w:r>
        <w:t xml:space="preserve"> </w:t>
      </w:r>
      <w:r>
        <w:rPr>
          <w:i/>
          <w:iCs/>
        </w:rPr>
        <w:t xml:space="preserve">Arminian/Wesleyan</w:t>
      </w:r>
      <w:r>
        <w:t xml:space="preserve"> </w:t>
      </w:r>
      <w:r>
        <w:t xml:space="preserve">reading argues that the</w:t>
      </w:r>
      <w:r>
        <w:t xml:space="preserve"> </w:t>
      </w:r>
      <w:r>
        <w:t xml:space="preserve">“hatred”</w:t>
      </w:r>
      <w:r>
        <w:t xml:space="preserve"> </w:t>
      </w:r>
      <w:r>
        <w:t xml:space="preserve">of Esau refers to God’s foreknowledge of Esau’s rejection of Him, and that the election of Jacob was based on foreseen faith or response. This reading must be</w:t>
      </w:r>
      <w:r>
        <w:t xml:space="preserve"> </w:t>
      </w:r>
      <w:r>
        <w:rPr>
          <w:i/>
          <w:iCs/>
        </w:rPr>
        <w:t xml:space="preserve">refuted</w:t>
      </w:r>
      <w:r>
        <w:t xml:space="preserve"> </w:t>
      </w:r>
      <w:r>
        <w:t xml:space="preserve">on exegetical grounds: Malachi is not offering a retrospective account of Jacob’s individual merits. He is pointing to a historical outcome — the destruction of Edom and the preservation of Israel — as evidence of sovereign covenantal favor that is not conditioned on Edom’s behavior (note:</w:t>
      </w:r>
      <w:r>
        <w:t xml:space="preserve"> </w:t>
      </w:r>
      <w:r>
        <w:t xml:space="preserve">“they will rebuild, but I will tear down,”</w:t>
      </w:r>
      <w:r>
        <w:t xml:space="preserve"> </w:t>
      </w:r>
      <w:r>
        <w:t xml:space="preserve">v. 4). The entire rhetorical logic of vv. 2-5 is that God’s love for Jacob is self-explanatory in its effects, not conditioned on Jacob’s deserts.</w:t>
      </w:r>
    </w:p>
    <w:p>
      <w:pPr>
        <w:pStyle w:val="BodyText"/>
      </w:pPr>
      <w:r>
        <w:t xml:space="preserve">The</w:t>
      </w:r>
      <w:r>
        <w:t xml:space="preserve"> </w:t>
      </w:r>
      <w:r>
        <w:rPr>
          <w:i/>
          <w:iCs/>
        </w:rPr>
        <w:t xml:space="preserve">Dispensational</w:t>
      </w:r>
      <w:r>
        <w:t xml:space="preserve"> </w:t>
      </w:r>
      <w:r>
        <w:t xml:space="preserve">reading sometimes emphasizes that this text refers primarily to national Israel and Edom as geopolitical entities, and therefore limits the theological claim to national/covenantal categories rather than individual election. This reading deserves</w:t>
      </w:r>
      <w:r>
        <w:t xml:space="preserve"> </w:t>
      </w:r>
      <w:r>
        <w:rPr>
          <w:i/>
          <w:iCs/>
        </w:rPr>
        <w:t xml:space="preserve">acknowledgment</w:t>
      </w:r>
      <w:r>
        <w:t xml:space="preserve"> </w:t>
      </w:r>
      <w:r>
        <w:t xml:space="preserve">on the point that Malachi is indeed speaking of corporate/national covenant realities. The people addressed are</w:t>
      </w:r>
      <w:r>
        <w:t xml:space="preserve"> </w:t>
      </w:r>
      <w:r>
        <w:t xml:space="preserve">“Israel”</w:t>
      </w:r>
      <w:r>
        <w:t xml:space="preserve"> </w:t>
      </w:r>
      <w:r>
        <w:t xml:space="preserve">(v. 1), and Edom stands as a nation. However, this observation does not limit Paul’s use of the same language in Romans 9 to argue for the sovereign freedom of God in election — a use the text itself anticipates by grounding the distinction in divine choice, not human achievement.</w:t>
      </w:r>
    </w:p>
    <w:p>
      <w:pPr>
        <w:pStyle w:val="BodyText"/>
      </w:pPr>
      <w:r>
        <w:t xml:space="preserve">The</w:t>
      </w:r>
      <w:r>
        <w:t xml:space="preserve"> </w:t>
      </w:r>
      <w:r>
        <w:rPr>
          <w:i/>
          <w:iCs/>
        </w:rPr>
        <w:t xml:space="preserve">Reformed</w:t>
      </w:r>
      <w:r>
        <w:t xml:space="preserve"> </w:t>
      </w:r>
      <w:r>
        <w:t xml:space="preserve">reading — that this passage grounds Israel’s obligation in sovereign electing love — is the reading most faithful to the text’s own logic. The argument of vv. 2-5 is explicitly that the LORD’s love is demonstrated by historical outcomes He has controlled. The people’s</w:t>
      </w:r>
      <w:r>
        <w:t xml:space="preserve"> </w:t>
      </w:r>
      <w:r>
        <w:t xml:space="preserve">“how have you loved us?”</w:t>
      </w:r>
      <w:r>
        <w:t xml:space="preserve"> </w:t>
      </w:r>
      <w:r>
        <w:t xml:space="preserve">is answered not by pointing to Israel’s worthiness but to God’s sovereign action on Israel’s behalf. This is the strongest ground for what follows: if this love is sovereign and unearned, the contempt shown in the offering is all the more inexcusable.</w:t>
      </w:r>
    </w:p>
    <w:p>
      <w:pPr>
        <w:pStyle w:val="BodyText"/>
      </w:pPr>
      <w:r>
        <w:rPr>
          <w:b/>
          <w:bCs/>
        </w:rPr>
        <w:t xml:space="preserve">The defective offerings (vv. 6-14) — liturgical or heartfelt?</w:t>
      </w:r>
    </w:p>
    <w:p>
      <w:pPr>
        <w:pStyle w:val="BodyText"/>
      </w:pPr>
      <w:r>
        <w:t xml:space="preserve">Some readings, especially in</w:t>
      </w:r>
      <w:r>
        <w:t xml:space="preserve"> </w:t>
      </w:r>
      <w:r>
        <w:rPr>
          <w:i/>
          <w:iCs/>
        </w:rPr>
        <w:t xml:space="preserve">evangelical Baptist</w:t>
      </w:r>
      <w:r>
        <w:t xml:space="preserve"> </w:t>
      </w:r>
      <w:r>
        <w:t xml:space="preserve">and</w:t>
      </w:r>
      <w:r>
        <w:t xml:space="preserve"> </w:t>
      </w:r>
      <w:r>
        <w:rPr>
          <w:i/>
          <w:iCs/>
        </w:rPr>
        <w:t xml:space="preserve">broadly evangelical</w:t>
      </w:r>
      <w:r>
        <w:t xml:space="preserve"> </w:t>
      </w:r>
      <w:r>
        <w:t xml:space="preserve">traditions, focus almost exclusively on the externals — the blind, lame, and sick animals — and draw applications primarily about excellence in material giving, facility quality, or worship production. This reading deserves</w:t>
      </w:r>
      <w:r>
        <w:t xml:space="preserve"> </w:t>
      </w:r>
      <w:r>
        <w:rPr>
          <w:i/>
          <w:iCs/>
        </w:rPr>
        <w:t xml:space="preserve">qualification</w:t>
      </w:r>
      <w:r>
        <w:t xml:space="preserve">: Malachi is not primarily making a point about liturgical precision for its own sake. The external defects are diagnostic of an internal condition. The priests</w:t>
      </w:r>
      <w:r>
        <w:t xml:space="preserve"> </w:t>
      </w:r>
      <w:r>
        <w:t xml:space="preserve">“despise”</w:t>
      </w:r>
      <w:r>
        <w:t xml:space="preserve"> </w:t>
      </w:r>
      <w:r>
        <w:t xml:space="preserve">God’s name (v. 6),</w:t>
      </w:r>
      <w:r>
        <w:t xml:space="preserve"> </w:t>
      </w:r>
      <w:r>
        <w:t xml:space="preserve">“defile”</w:t>
      </w:r>
      <w:r>
        <w:t xml:space="preserve"> </w:t>
      </w:r>
      <w:r>
        <w:t xml:space="preserve">the altar (v. 7), and call the service</w:t>
      </w:r>
      <w:r>
        <w:t xml:space="preserve"> </w:t>
      </w:r>
      <w:r>
        <w:t xml:space="preserve">“a weariness”</w:t>
      </w:r>
      <w:r>
        <w:t xml:space="preserve"> </w:t>
      </w:r>
      <w:r>
        <w:t xml:space="preserve">(v. 13). The animals are symptoms; the disease is contempt. Applications that stop at the symptom level miss the deeper confrontation the text is making.</w:t>
      </w:r>
    </w:p>
    <w:p>
      <w:pPr>
        <w:pStyle w:val="BodyText"/>
      </w:pPr>
      <w:r>
        <w:t xml:space="preserve">The</w:t>
      </w:r>
      <w:r>
        <w:t xml:space="preserve"> </w:t>
      </w:r>
      <w:r>
        <w:rPr>
          <w:i/>
          <w:iCs/>
        </w:rPr>
        <w:t xml:space="preserve">Reformed</w:t>
      </w:r>
      <w:r>
        <w:t xml:space="preserve"> </w:t>
      </w:r>
      <w:r>
        <w:t xml:space="preserve">reading insists that the worship reform God demands is not primarily aesthetic or material but theological — it is a demand that worship reflect the actual worth of the One being worshipped. The famous alternative in v. 11 (</w:t>
      </w:r>
      <w:r>
        <w:t xml:space="preserve">“from the rising of the sun to its setting my name will be great among the nations”</w:t>
      </w:r>
      <w:r>
        <w:t xml:space="preserve">) functions as a rebuke-by-contrast: the nations somehow honor God’s name more than His own covenant people.</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Romans 9:10-13</w:t>
      </w:r>
      <w:r>
        <w:t xml:space="preserve"> </w:t>
      </w:r>
      <w:r>
        <w:t xml:space="preserve">— Paul draws directly on Malachi 1:2-3 to anchor the doctrine of unconditional election; confirms the Reformed reading that the Jacob/Esau distinction is rooted in divine sovereign choice, not human merit.</w:t>
      </w:r>
    </w:p>
    <w:p>
      <w:pPr>
        <w:pStyle w:val="Compact"/>
        <w:numPr>
          <w:ilvl w:val="0"/>
          <w:numId w:val="1001"/>
        </w:numPr>
      </w:pPr>
      <w:r>
        <w:rPr>
          <w:b/>
          <w:bCs/>
        </w:rPr>
        <w:t xml:space="preserve">Deuteronomy 7:6-8</w:t>
      </w:r>
      <w:r>
        <w:t xml:space="preserve"> </w:t>
      </w:r>
      <w:r>
        <w:t xml:space="preserve">—</w:t>
      </w:r>
      <w:r>
        <w:t xml:space="preserve"> </w:t>
      </w:r>
      <w:r>
        <w:t xml:space="preserve">“The LORD did not set His love on you and choose you because you were more in number than any other people… but because the LORD loves you.”</w:t>
      </w:r>
      <w:r>
        <w:t xml:space="preserve"> </w:t>
      </w:r>
      <w:r>
        <w:t xml:space="preserve">The same logic: love unexplained by its object, demanding response.</w:t>
      </w:r>
    </w:p>
    <w:p>
      <w:pPr>
        <w:pStyle w:val="Compact"/>
        <w:numPr>
          <w:ilvl w:val="0"/>
          <w:numId w:val="1001"/>
        </w:numPr>
      </w:pPr>
      <w:r>
        <w:rPr>
          <w:b/>
          <w:bCs/>
        </w:rPr>
        <w:t xml:space="preserve">Leviticus 22:17-25</w:t>
      </w:r>
      <w:r>
        <w:t xml:space="preserve"> </w:t>
      </w:r>
      <w:r>
        <w:t xml:space="preserve">— The Mosaic prohibition on defective offerings establishes the legal background for Malachi’s indictment; the priests knew exactly what they were doing and why it was prohibited.</w:t>
      </w:r>
    </w:p>
    <w:p>
      <w:pPr>
        <w:pStyle w:val="Compact"/>
        <w:numPr>
          <w:ilvl w:val="0"/>
          <w:numId w:val="1001"/>
        </w:numPr>
      </w:pPr>
      <w:r>
        <w:rPr>
          <w:b/>
          <w:bCs/>
        </w:rPr>
        <w:t xml:space="preserve">Isaiah 29:13</w:t>
      </w:r>
      <w:r>
        <w:t xml:space="preserve"> </w:t>
      </w:r>
      <w:r>
        <w:t xml:space="preserve">—</w:t>
      </w:r>
      <w:r>
        <w:t xml:space="preserve"> </w:t>
      </w:r>
      <w:r>
        <w:t xml:space="preserve">“This people honors me with their lips, but their heart is far from me.”</w:t>
      </w:r>
      <w:r>
        <w:t xml:space="preserve"> </w:t>
      </w:r>
      <w:r>
        <w:t xml:space="preserve">The same diagnostic — outward religious form masking inner contempt — appears throughout the prophets; Malachi is the final statement of this recurring judgment.</w:t>
      </w:r>
    </w:p>
    <w:p>
      <w:pPr>
        <w:pStyle w:val="Compact"/>
        <w:numPr>
          <w:ilvl w:val="0"/>
          <w:numId w:val="1001"/>
        </w:numPr>
      </w:pPr>
      <w:r>
        <w:rPr>
          <w:b/>
          <w:bCs/>
        </w:rPr>
        <w:t xml:space="preserve">John 4:23-24</w:t>
      </w:r>
      <w:r>
        <w:t xml:space="preserve"> </w:t>
      </w:r>
      <w:r>
        <w:t xml:space="preserve">— Jesus declares that the Father is seeking worshippers who worship</w:t>
      </w:r>
      <w:r>
        <w:t xml:space="preserve"> </w:t>
      </w:r>
      <w:r>
        <w:t xml:space="preserve">“in spirit and in truth.”</w:t>
      </w:r>
      <w:r>
        <w:t xml:space="preserve"> </w:t>
      </w:r>
      <w:r>
        <w:t xml:space="preserve">The trajectory from Malachi’s demand for costly, reverent worship reaches its fulfillment in Jesus’ teaching that true worship is no longer tied to Temple geography but to the quality of the worshipper’s engagement.</w:t>
      </w:r>
    </w:p>
    <w:p>
      <w:r>
        <w:pict>
          <v:rect style="width:0;height:1.5pt" o:hralign="center" o:hrstd="t" o:hr="t"/>
        </w:pict>
      </w:r>
    </w:p>
    <w:p>
      <w:pPr>
        <w:pStyle w:val="FirstParagraph"/>
      </w:pPr>
      <w:r>
        <w:rPr>
          <w:b/>
          <w:bCs/>
        </w:rPr>
        <w:t xml:space="preserve">Aim:</w:t>
      </w:r>
      <w:r>
        <w:t xml:space="preserve"> </w:t>
      </w:r>
      <w:r>
        <w:t xml:space="preserve">To expose the gap between religious participation and genuine reverence, calling readers to examine whether their worship reflects the weight of God’s love or merely the habits of their routine.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Superscription:</w:t>
            </w:r>
            <w:r>
              <w:t xml:space="preserve"> </w:t>
            </w:r>
            <w:r>
              <w:t xml:space="preserve">“The burden of the word of the LORD to Israel by Malachi.”</w:t>
            </w:r>
          </w:p>
        </w:tc>
        <w:tc>
          <w:tcPr/>
          <w:p>
            <w:pPr>
              <w:pStyle w:val="Compact"/>
            </w:pPr>
            <w:r>
              <w:t xml:space="preserve">“Burden”</w:t>
            </w:r>
            <w:r>
              <w:t xml:space="preserve"> </w:t>
            </w:r>
            <w:r>
              <w:t xml:space="preserve">(massa’) signals weighty, often unwelcome prophetic speech.</w:t>
            </w:r>
          </w:p>
        </w:tc>
      </w:tr>
      <w:tr>
        <w:tc>
          <w:tcPr/>
          <w:p>
            <w:pPr>
              <w:pStyle w:val="Compact"/>
            </w:pPr>
            <w:r>
              <w:t xml:space="preserve">2a</w:t>
            </w:r>
          </w:p>
        </w:tc>
        <w:tc>
          <w:tcPr/>
          <w:p>
            <w:pPr>
              <w:pStyle w:val="Compact"/>
            </w:pPr>
            <w:r>
              <w:t xml:space="preserve">Divine declaration:</w:t>
            </w:r>
            <w:r>
              <w:t xml:space="preserve"> </w:t>
            </w:r>
            <w:r>
              <w:t xml:space="preserve">“I have loved you.”</w:t>
            </w:r>
          </w:p>
        </w:tc>
        <w:tc>
          <w:tcPr/>
          <w:p>
            <w:pPr>
              <w:pStyle w:val="Compact"/>
            </w:pPr>
            <w:r>
              <w:t xml:space="preserve">God opens with love, not law. The indictment comes second.</w:t>
            </w:r>
          </w:p>
        </w:tc>
      </w:tr>
      <w:tr>
        <w:tc>
          <w:tcPr/>
          <w:p>
            <w:pPr>
              <w:pStyle w:val="Compact"/>
            </w:pPr>
            <w:r>
              <w:t xml:space="preserve">2b</w:t>
            </w:r>
          </w:p>
        </w:tc>
        <w:tc>
          <w:tcPr/>
          <w:p>
            <w:pPr>
              <w:pStyle w:val="Compact"/>
            </w:pPr>
            <w:r>
              <w:t xml:space="preserve">Israel’s response:</w:t>
            </w:r>
            <w:r>
              <w:t xml:space="preserve"> </w:t>
            </w:r>
            <w:r>
              <w:t xml:space="preserve">“How have you loved us?”</w:t>
            </w:r>
          </w:p>
        </w:tc>
        <w:tc>
          <w:tcPr/>
          <w:p>
            <w:pPr>
              <w:pStyle w:val="Compact"/>
            </w:pPr>
            <w:r>
              <w:t xml:space="preserve">The question is not genuine inquiry — it is skeptical resistance to the claim.</w:t>
            </w:r>
          </w:p>
        </w:tc>
      </w:tr>
      <w:tr>
        <w:tc>
          <w:tcPr/>
          <w:p>
            <w:pPr>
              <w:pStyle w:val="Compact"/>
            </w:pPr>
            <w:r>
              <w:t xml:space="preserve">2c-3</w:t>
            </w:r>
          </w:p>
        </w:tc>
        <w:tc>
          <w:tcPr/>
          <w:p>
            <w:pPr>
              <w:pStyle w:val="Compact"/>
            </w:pPr>
            <w:r>
              <w:t xml:space="preserve">The LORD answers: the election of Jacob over Esau — God’s sovereign love demonstrated in contrasting outcomes.</w:t>
            </w:r>
          </w:p>
        </w:tc>
        <w:tc>
          <w:tcPr/>
          <w:p>
            <w:pPr>
              <w:pStyle w:val="Compact"/>
            </w:pPr>
            <w:r>
              <w:t xml:space="preserve">“Hated”</w:t>
            </w:r>
            <w:r>
              <w:t xml:space="preserve"> </w:t>
            </w:r>
            <w:r>
              <w:t xml:space="preserve">= covenantal disfavor; not personal animosity but sovereign non-election.</w:t>
            </w:r>
          </w:p>
        </w:tc>
      </w:tr>
      <w:tr>
        <w:tc>
          <w:tcPr/>
          <w:p>
            <w:pPr>
              <w:pStyle w:val="Compact"/>
            </w:pPr>
            <w:r>
              <w:t xml:space="preserve">4</w:t>
            </w:r>
          </w:p>
        </w:tc>
        <w:tc>
          <w:tcPr/>
          <w:p>
            <w:pPr>
              <w:pStyle w:val="Compact"/>
            </w:pPr>
            <w:r>
              <w:t xml:space="preserve">Edom vows to rebuild; the LORD declares He will tear down —</w:t>
            </w:r>
            <w:r>
              <w:t xml:space="preserve"> </w:t>
            </w:r>
            <w:r>
              <w:t xml:space="preserve">“the wicked country,”</w:t>
            </w:r>
            <w:r>
              <w:t xml:space="preserve"> </w:t>
            </w:r>
            <w:r>
              <w:t xml:space="preserve">“the people with whom the LORD is angry forever.”</w:t>
            </w:r>
          </w:p>
        </w:tc>
        <w:tc>
          <w:tcPr/>
          <w:p>
            <w:pPr>
              <w:pStyle w:val="Compact"/>
            </w:pPr>
            <w:r>
              <w:t xml:space="preserve">Edom becomes the permanent emblem of divine judgment.</w:t>
            </w:r>
          </w:p>
        </w:tc>
      </w:tr>
      <w:tr>
        <w:tc>
          <w:tcPr/>
          <w:p>
            <w:pPr>
              <w:pStyle w:val="Compact"/>
            </w:pPr>
            <w:r>
              <w:t xml:space="preserve">5</w:t>
            </w:r>
          </w:p>
        </w:tc>
        <w:tc>
          <w:tcPr/>
          <w:p>
            <w:pPr>
              <w:pStyle w:val="Compact"/>
            </w:pPr>
            <w:r>
              <w:t xml:space="preserve">Israel will see and say,</w:t>
            </w:r>
            <w:r>
              <w:t xml:space="preserve"> </w:t>
            </w:r>
            <w:r>
              <w:t xml:space="preserve">“Great is the LORD beyond the border of Israel.”</w:t>
            </w:r>
          </w:p>
        </w:tc>
        <w:tc>
          <w:tcPr/>
          <w:p>
            <w:pPr>
              <w:pStyle w:val="Compact"/>
            </w:pPr>
            <w:r>
              <w:t xml:space="preserve">The scope of God’s greatness extends beyond Israel’s geography even as Israel is called to recognize it.</w:t>
            </w:r>
          </w:p>
        </w:tc>
      </w:tr>
      <w:tr>
        <w:tc>
          <w:tcPr/>
          <w:p>
            <w:pPr>
              <w:pStyle w:val="Compact"/>
            </w:pPr>
            <w:r>
              <w:t xml:space="preserve">6a</w:t>
            </w:r>
          </w:p>
        </w:tc>
        <w:tc>
          <w:tcPr/>
          <w:p>
            <w:pPr>
              <w:pStyle w:val="Compact"/>
            </w:pPr>
            <w:r>
              <w:t xml:space="preserve">The LORD addresses the priests directly: a son honors his father; a servant his master — but where is the honor due the LORD?</w:t>
            </w:r>
          </w:p>
        </w:tc>
        <w:tc>
          <w:tcPr/>
          <w:p>
            <w:pPr>
              <w:pStyle w:val="Compact"/>
            </w:pPr>
            <w:r>
              <w:t xml:space="preserve">The argument from natural relationship: familial and social honor is intuitive; covenant honor should be more so.</w:t>
            </w:r>
          </w:p>
        </w:tc>
      </w:tr>
      <w:tr>
        <w:tc>
          <w:tcPr/>
          <w:p>
            <w:pPr>
              <w:pStyle w:val="Compact"/>
            </w:pPr>
            <w:r>
              <w:t xml:space="preserve">6b</w:t>
            </w:r>
          </w:p>
        </w:tc>
        <w:tc>
          <w:tcPr/>
          <w:p>
            <w:pPr>
              <w:pStyle w:val="Compact"/>
            </w:pPr>
            <w:r>
              <w:t xml:space="preserve">“O priests who despise my name.”</w:t>
            </w:r>
            <w:r>
              <w:t xml:space="preserve"> </w:t>
            </w:r>
            <w:r>
              <w:t xml:space="preserve">The priests deny it:</w:t>
            </w:r>
            <w:r>
              <w:t xml:space="preserve"> </w:t>
            </w:r>
            <w:r>
              <w:t xml:space="preserve">“How have we despised your name?”</w:t>
            </w:r>
          </w:p>
        </w:tc>
        <w:tc>
          <w:tcPr/>
          <w:p>
            <w:pPr>
              <w:pStyle w:val="Compact"/>
            </w:pPr>
            <w:r>
              <w:t xml:space="preserve">Second occurrence of the</w:t>
            </w:r>
            <w:r>
              <w:t xml:space="preserve"> </w:t>
            </w:r>
            <w:r>
              <w:t xml:space="preserve">“How have we…?”</w:t>
            </w:r>
            <w:r>
              <w:t xml:space="preserve"> </w:t>
            </w:r>
            <w:r>
              <w:t xml:space="preserve">pattern — a structural motif throughout Malachi (the disputation format).</w:t>
            </w:r>
          </w:p>
        </w:tc>
      </w:tr>
      <w:tr>
        <w:tc>
          <w:tcPr/>
          <w:p>
            <w:pPr>
              <w:pStyle w:val="Compact"/>
            </w:pPr>
            <w:r>
              <w:t xml:space="preserve">7</w:t>
            </w:r>
          </w:p>
        </w:tc>
        <w:tc>
          <w:tcPr/>
          <w:p>
            <w:pPr>
              <w:pStyle w:val="Compact"/>
            </w:pPr>
            <w:r>
              <w:t xml:space="preserve">The priests offer</w:t>
            </w:r>
            <w:r>
              <w:t xml:space="preserve"> </w:t>
            </w:r>
            <w:r>
              <w:t xml:space="preserve">“defiled food”</w:t>
            </w:r>
            <w:r>
              <w:t xml:space="preserve"> </w:t>
            </w:r>
            <w:r>
              <w:t xml:space="preserve">on the altar, then ask,</w:t>
            </w:r>
            <w:r>
              <w:t xml:space="preserve"> </w:t>
            </w:r>
            <w:r>
              <w:t xml:space="preserve">“How have we defiled you?”</w:t>
            </w:r>
            <w:r>
              <w:t xml:space="preserve"> </w:t>
            </w:r>
            <w:r>
              <w:t xml:space="preserve">Answer: by saying</w:t>
            </w:r>
            <w:r>
              <w:t xml:space="preserve"> </w:t>
            </w:r>
            <w:r>
              <w:t xml:space="preserve">“the table of the LORD may be despised.”</w:t>
            </w:r>
          </w:p>
        </w:tc>
        <w:tc>
          <w:tcPr/>
          <w:p>
            <w:pPr>
              <w:pStyle w:val="Compact"/>
            </w:pPr>
            <w:r>
              <w:t xml:space="preserve">The altar is called the LORD’s</w:t>
            </w:r>
            <w:r>
              <w:t xml:space="preserve"> </w:t>
            </w:r>
            <w:r>
              <w:t xml:space="preserve">“table”</w:t>
            </w:r>
            <w:r>
              <w:t xml:space="preserve"> </w:t>
            </w:r>
            <w:r>
              <w:t xml:space="preserve">— the language of presence and relationship, making the defilement more pointed.</w:t>
            </w:r>
          </w:p>
        </w:tc>
      </w:tr>
      <w:tr>
        <w:tc>
          <w:tcPr/>
          <w:p>
            <w:pPr>
              <w:pStyle w:val="Compact"/>
            </w:pPr>
            <w:r>
              <w:t xml:space="preserve">8</w:t>
            </w:r>
          </w:p>
        </w:tc>
        <w:tc>
          <w:tcPr/>
          <w:p>
            <w:pPr>
              <w:pStyle w:val="Compact"/>
            </w:pPr>
            <w:r>
              <w:t xml:space="preserve">Offering blind, lame, and sick animals:</w:t>
            </w:r>
            <w:r>
              <w:t xml:space="preserve"> </w:t>
            </w:r>
            <w:r>
              <w:t xml:space="preserve">“Is that not evil? Present that to your governor — would he accept you?”</w:t>
            </w:r>
          </w:p>
        </w:tc>
        <w:tc>
          <w:tcPr/>
          <w:p>
            <w:pPr>
              <w:pStyle w:val="Compact"/>
            </w:pPr>
            <w:r>
              <w:t xml:space="preserve">A devastating reductio ad absurdum: they would never offer their earthly rulers what they offer God.</w:t>
            </w:r>
          </w:p>
        </w:tc>
      </w:tr>
      <w:tr>
        <w:tc>
          <w:tcPr/>
          <w:p>
            <w:pPr>
              <w:pStyle w:val="Compact"/>
            </w:pPr>
            <w:r>
              <w:t xml:space="preserve">9</w:t>
            </w:r>
          </w:p>
        </w:tc>
        <w:tc>
          <w:tcPr/>
          <w:p>
            <w:pPr>
              <w:pStyle w:val="Compact"/>
            </w:pPr>
            <w:r>
              <w:t xml:space="preserve">Ironic appeal:</w:t>
            </w:r>
            <w:r>
              <w:t xml:space="preserve"> </w:t>
            </w:r>
            <w:r>
              <w:t xml:space="preserve">“Now entreat the favor of God, that he may be gracious to us. With such a gift from your hand, will he show favor to any of you?”</w:t>
            </w:r>
          </w:p>
        </w:tc>
        <w:tc>
          <w:tcPr/>
          <w:p>
            <w:pPr>
              <w:pStyle w:val="Compact"/>
            </w:pPr>
            <w:r>
              <w:t xml:space="preserve">The irony is biting: how do you expect grace while practicing contempt?</w:t>
            </w:r>
          </w:p>
        </w:tc>
      </w:tr>
      <w:tr>
        <w:tc>
          <w:tcPr/>
          <w:p>
            <w:pPr>
              <w:pStyle w:val="Compact"/>
            </w:pPr>
            <w:r>
              <w:t xml:space="preserve">10</w:t>
            </w:r>
          </w:p>
        </w:tc>
        <w:tc>
          <w:tcPr/>
          <w:p>
            <w:pPr>
              <w:pStyle w:val="Compact"/>
            </w:pPr>
            <w:r>
              <w:t xml:space="preserve">“Oh that there were one among you who would shut the temple doors, that you might not kindle fire on my altar in vain!”</w:t>
            </w:r>
          </w:p>
        </w:tc>
        <w:tc>
          <w:tcPr/>
          <w:p>
            <w:pPr>
              <w:pStyle w:val="Compact"/>
            </w:pPr>
            <w:r>
              <w:t xml:space="preserve">God would rather have no worship than this worship — a stunning reversal of Temple expectation.</w:t>
            </w:r>
          </w:p>
        </w:tc>
      </w:tr>
      <w:tr>
        <w:tc>
          <w:tcPr/>
          <w:p>
            <w:pPr>
              <w:pStyle w:val="Compact"/>
            </w:pPr>
            <w:r>
              <w:t xml:space="preserve">11</w:t>
            </w:r>
          </w:p>
        </w:tc>
        <w:tc>
          <w:tcPr/>
          <w:p>
            <w:pPr>
              <w:pStyle w:val="Compact"/>
            </w:pPr>
            <w:r>
              <w:t xml:space="preserve">“From the rising of the sun to its setting my name will be great among the nations, and everywhere incense will be offered to my name.”</w:t>
            </w:r>
          </w:p>
        </w:tc>
        <w:tc>
          <w:tcPr/>
          <w:p>
            <w:pPr>
              <w:pStyle w:val="Compact"/>
            </w:pPr>
            <w:r>
              <w:t xml:space="preserve">The eschatological/Gentile contrast: the nations will honor God’s name more than Israel currently does. Most interpreters see a future fulfillment; some see a present reference to God-fearers among the nations.</w:t>
            </w:r>
          </w:p>
        </w:tc>
      </w:tr>
      <w:tr>
        <w:tc>
          <w:tcPr/>
          <w:p>
            <w:pPr>
              <w:pStyle w:val="Compact"/>
            </w:pPr>
            <w:r>
              <w:t xml:space="preserve">12-13</w:t>
            </w:r>
          </w:p>
        </w:tc>
        <w:tc>
          <w:tcPr/>
          <w:p>
            <w:pPr>
              <w:pStyle w:val="Compact"/>
            </w:pPr>
            <w:r>
              <w:t xml:space="preserve">The priests profane the Lord’s table and call it</w:t>
            </w:r>
            <w:r>
              <w:t xml:space="preserve"> </w:t>
            </w:r>
            <w:r>
              <w:t xml:space="preserve">“a burden”</w:t>
            </w:r>
            <w:r>
              <w:t xml:space="preserve">; the offering is</w:t>
            </w:r>
            <w:r>
              <w:t xml:space="preserve"> </w:t>
            </w:r>
            <w:r>
              <w:t xml:space="preserve">“a snare”</w:t>
            </w:r>
            <w:r>
              <w:t xml:space="preserve"> </w:t>
            </w:r>
            <w:r>
              <w:t xml:space="preserve">— they bring what is torn, lame, or sick and call it acceptable.</w:t>
            </w:r>
          </w:p>
        </w:tc>
        <w:tc>
          <w:tcPr/>
          <w:p>
            <w:pPr>
              <w:pStyle w:val="Compact"/>
            </w:pPr>
            <w:r>
              <w:t xml:space="preserve">“Sniffing at it”</w:t>
            </w:r>
            <w:r>
              <w:t xml:space="preserve"> </w:t>
            </w:r>
            <w:r>
              <w:t xml:space="preserve">(v. 13) — a vivid gesture of contempt and disdain.</w:t>
            </w:r>
          </w:p>
        </w:tc>
      </w:tr>
      <w:tr>
        <w:tc>
          <w:tcPr/>
          <w:p>
            <w:pPr>
              <w:pStyle w:val="Compact"/>
            </w:pPr>
            <w:r>
              <w:t xml:space="preserve">14</w:t>
            </w:r>
          </w:p>
        </w:tc>
        <w:tc>
          <w:tcPr/>
          <w:p>
            <w:pPr>
              <w:pStyle w:val="Compact"/>
            </w:pPr>
            <w:r>
              <w:t xml:space="preserve">The curse on the deceiver who vows and then offers a blemished animal:</w:t>
            </w:r>
            <w:r>
              <w:t xml:space="preserve"> </w:t>
            </w:r>
            <w:r>
              <w:t xml:space="preserve">“For I am a great King, and my name will be feared among the nations.”</w:t>
            </w:r>
          </w:p>
        </w:tc>
        <w:tc>
          <w:tcPr/>
          <w:p>
            <w:pPr>
              <w:pStyle w:val="Compact"/>
            </w:pPr>
            <w:r>
              <w:t xml:space="preserve">The chapter closes where it began — with God’s name and His greatness. The closing</w:t>
            </w:r>
            <w:r>
              <w:t xml:space="preserve"> </w:t>
            </w:r>
            <w:r>
              <w:t xml:space="preserve">“great King”</w:t>
            </w:r>
            <w:r>
              <w:t xml:space="preserve"> </w:t>
            </w:r>
            <w:r>
              <w:t xml:space="preserve">echoes the opening</w:t>
            </w:r>
            <w:r>
              <w:t xml:space="preserve"> </w:t>
            </w:r>
            <w:r>
              <w:t xml:space="preserve">“great love.”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Sovereign Love Declared and Defended</w:t>
            </w:r>
          </w:p>
        </w:tc>
      </w:tr>
      <w:tr>
        <w:tc>
          <w:tcPr/>
          <w:p>
            <w:pPr>
              <w:pStyle w:val="Compact"/>
            </w:pPr>
            <w:r>
              <w:t xml:space="preserve">2</w:t>
            </w:r>
          </w:p>
        </w:tc>
        <w:tc>
          <w:tcPr/>
          <w:p>
            <w:pPr>
              <w:pStyle w:val="Compact"/>
            </w:pPr>
            <w:r>
              <w:t xml:space="preserve">6-9</w:t>
            </w:r>
          </w:p>
        </w:tc>
        <w:tc>
          <w:tcPr/>
          <w:p>
            <w:pPr>
              <w:pStyle w:val="Compact"/>
            </w:pPr>
            <w:r>
              <w:t xml:space="preserve">Honor Demanded and Denied</w:t>
            </w:r>
          </w:p>
        </w:tc>
      </w:tr>
      <w:tr>
        <w:tc>
          <w:tcPr/>
          <w:p>
            <w:pPr>
              <w:pStyle w:val="Compact"/>
            </w:pPr>
            <w:r>
              <w:t xml:space="preserve">3</w:t>
            </w:r>
          </w:p>
        </w:tc>
        <w:tc>
          <w:tcPr/>
          <w:p>
            <w:pPr>
              <w:pStyle w:val="Compact"/>
            </w:pPr>
            <w:r>
              <w:t xml:space="preserve">10-14</w:t>
            </w:r>
          </w:p>
        </w:tc>
        <w:tc>
          <w:tcPr/>
          <w:p>
            <w:pPr>
              <w:pStyle w:val="Compact"/>
            </w:pPr>
            <w:r>
              <w:t xml:space="preserve">Contemptuous Worship Condemned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confronts Israel’s contemptuous worship as a betrayal of covenant love received.</w:t>
      </w:r>
    </w:p>
    <w:p>
      <w:pPr>
        <w:pStyle w:val="BodyText"/>
      </w:pPr>
      <w:r>
        <w:rPr>
          <w:b/>
          <w:bCs/>
        </w:rPr>
        <w:t xml:space="preserve">Primary Claim:</w:t>
      </w:r>
      <w:r>
        <w:t xml:space="preserve"> </w:t>
      </w:r>
      <w:r>
        <w:t xml:space="preserve">Because God has loved His people with sovereign, electing love, hollow and half-hearted worship is not merely a liturgical failure — it is a covenant insult; and God will not receive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your worship actually costs you.</w:t>
      </w:r>
      <w:r>
        <w:t xml:space="preserve"> </w:t>
      </w:r>
      <w:r>
        <w:rPr>
          <w:i/>
          <w:iCs/>
        </w:rPr>
        <w:t xml:space="preserve">(Will/behavior)</w:t>
      </w:r>
      <w:r>
        <w:t xml:space="preserve"> </w:t>
      </w:r>
      <w:r>
        <w:t xml:space="preserve">The priests offered what was defective because it was disposable — the animals no one else wanted. The diagnostic question Malachi places before every worshipper is not</w:t>
      </w:r>
      <w:r>
        <w:t xml:space="preserve"> </w:t>
      </w:r>
      <w:r>
        <w:t xml:space="preserve">“Did you show up?”</w:t>
      </w:r>
      <w:r>
        <w:t xml:space="preserve"> </w:t>
      </w:r>
      <w:r>
        <w:t xml:space="preserve">but</w:t>
      </w:r>
      <w:r>
        <w:t xml:space="preserve"> </w:t>
      </w:r>
      <w:r>
        <w:t xml:space="preserve">“Did it cost you anything?”</w:t>
      </w:r>
      <w:r>
        <w:t xml:space="preserve"> </w:t>
      </w:r>
      <w:r>
        <w:t xml:space="preserve">Before the next Sunday, the next giving decision, the next act of service, ask honestly: Am I offering what I can afford to lose, or what I am genuinely giving? Rearrange one concrete commitment this week so that worship costs something you would otherwise keep.</w:t>
      </w:r>
    </w:p>
    <w:p>
      <w:pPr>
        <w:pStyle w:val="BodyText"/>
      </w:pPr>
      <w:r>
        <w:rPr>
          <w:b/>
          <w:bCs/>
        </w:rPr>
        <w:t xml:space="preserve">2. Hear God’s love as the foundation of His claim on your reverence.</w:t>
      </w:r>
      <w:r>
        <w:t xml:space="preserve"> </w:t>
      </w:r>
      <w:r>
        <w:rPr>
          <w:i/>
          <w:iCs/>
        </w:rPr>
        <w:t xml:space="preserve">(Mind/belief)</w:t>
      </w:r>
      <w:r>
        <w:t xml:space="preserve"> </w:t>
      </w:r>
      <w:r>
        <w:t xml:space="preserve">Malachi does not begin with the command to worship well — he begins with</w:t>
      </w:r>
      <w:r>
        <w:t xml:space="preserve"> </w:t>
      </w:r>
      <w:r>
        <w:t xml:space="preserve">“I have loved you.”</w:t>
      </w:r>
      <w:r>
        <w:t xml:space="preserve"> </w:t>
      </w:r>
      <w:r>
        <w:t xml:space="preserve">The sequence is theologically deliberate: love precedes demand. God is not a governor requiring tribute from a subject; He is a Father who has chosen and preserved His people at cost to Himself. Reframe your understanding of God’s call to worship not as duty imposed from outside but as the fitting response to love poured out freely. The obligation and the gift are the same thing.</w:t>
      </w:r>
    </w:p>
    <w:p>
      <w:pPr>
        <w:pStyle w:val="BodyText"/>
      </w:pPr>
      <w:r>
        <w:rPr>
          <w:b/>
          <w:bCs/>
        </w:rPr>
        <w:t xml:space="preserve">3. Repent of worship that has become a managed routine rather than a living encounter.</w:t>
      </w:r>
      <w:r>
        <w:t xml:space="preserve"> </w:t>
      </w:r>
      <w:r>
        <w:rPr>
          <w:i/>
          <w:iCs/>
        </w:rPr>
        <w:t xml:space="preserve">(Affections/worship)</w:t>
      </w:r>
      <w:r>
        <w:t xml:space="preserve"> </w:t>
      </w:r>
      <w:r>
        <w:t xml:space="preserve">The priests called the altar</w:t>
      </w:r>
      <w:r>
        <w:t xml:space="preserve"> </w:t>
      </w:r>
      <w:r>
        <w:t xml:space="preserve">“a burden”</w:t>
      </w:r>
      <w:r>
        <w:t xml:space="preserve"> </w:t>
      </w:r>
      <w:r>
        <w:t xml:space="preserve">and the offering</w:t>
      </w:r>
      <w:r>
        <w:t xml:space="preserve"> </w:t>
      </w:r>
      <w:r>
        <w:t xml:space="preserve">“a snare.”</w:t>
      </w:r>
      <w:r>
        <w:t xml:space="preserve"> </w:t>
      </w:r>
      <w:r>
        <w:t xml:space="preserve">They had not stopped worshipping — they had stopped meaning it. The most dangerous form of contempt for God is the kind that maintains all the external forms while the affections have long since departed. Confess specifically the ways your own religious practice has become routine management rather than genuine engagement — not the things you’ve stopped doing, but the things you still do while your heart has quietly checked out.</w:t>
      </w:r>
    </w:p>
    <w:p>
      <w:pPr>
        <w:pStyle w:val="BodyText"/>
      </w:pPr>
      <w:r>
        <w:rPr>
          <w:b/>
          <w:bCs/>
        </w:rPr>
        <w:t xml:space="preserve">4. Reject the habit of giving God what remains after everything else has been satisfied.</w:t>
      </w:r>
      <w:r>
        <w:t xml:space="preserve"> </w:t>
      </w:r>
      <w:r>
        <w:rPr>
          <w:i/>
          <w:iCs/>
        </w:rPr>
        <w:t xml:space="preserve">(Will/behavior)</w:t>
      </w:r>
      <w:r>
        <w:t xml:space="preserve"> </w:t>
      </w:r>
      <w:r>
        <w:t xml:space="preserve">The defective animals were the leftovers — the ones unsuitable for sale or use. Israel’s priests were giving God what they had no other use for. This pattern persists whenever time with God is what is left after the schedule fills, when generosity is what remains after every personal priority is met, when prayer happens only when everything else has failed. Identify one specific area — time, money, attention — where God is consistently receiving your remainder rather than your firstfruits, and restructure that area before this week ends.</w:t>
      </w:r>
    </w:p>
    <w:p>
      <w:pPr>
        <w:pStyle w:val="BodyText"/>
      </w:pPr>
      <w:r>
        <w:rPr>
          <w:b/>
          <w:bCs/>
        </w:rPr>
        <w:t xml:space="preserve">5. Let the greatness of God’s name recalibrate the weight you assign to worship.</w:t>
      </w:r>
      <w:r>
        <w:t xml:space="preserve"> </w:t>
      </w:r>
      <w:r>
        <w:rPr>
          <w:i/>
          <w:iCs/>
        </w:rPr>
        <w:t xml:space="preserve">(Mind/belief)</w:t>
      </w:r>
      <w:r>
        <w:t xml:space="preserve"> </w:t>
      </w:r>
      <w:r>
        <w:t xml:space="preserve">The LORD says twice that His name is great among the nations — as a rebuke-by-contrast to Israel’s diminished worship. The nations, who do not yet know Him, somehow honor His greatness; Israel, who does know Him, treats it as inconvenient. God’s name — His character, His covenant faithfulness, His sovereign love — is of a weight that the nations will one day fully recognize. If you genuinely believed you were approaching the great King of the universe, not managing a religious obligation, what would be different about how you come?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Malachi 1 establishes that God’s love is sovereign and self-originated — it is not contingent on Israel’s merit, history, or performance, but precedes and undergirds all of Israel’s covenant existence. This is not a minor feature of the text but its theological foundation: the indictment of defective worship only lands with full weight when God’s sovereign love is recognized as the ground from which the demand springs. The chapter also establishes that God is not obligated to receive every act offered in His name — the remarkable declaration that He would rather have the Temple doors shut than continue receiving defective worship asserts divine dignity as a real category, not a religious formality. God’s name is not a label to be attached to whatever Israel finds convenient; it has weight, character, and honor that genuine worship must reflect. The chapter anticipates — and Malachi 3:1 will confirm — that a more thoroughgoing solution is needed than liturgical reform alone can provide.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Malachi 1 is one of the clearest Old Testament anchors for the Reformed doctrine of unconditional election. The distinction between Jacob and Esau is rooted explicitly in divine sovereign choice — the same text Paul deploys in Romans 9 to demonstrate that God’s purpose in election</w:t>
      </w:r>
      <w:r>
        <w:t xml:space="preserve"> </w:t>
      </w:r>
      <w:r>
        <w:t xml:space="preserve">“is not of him who wills, nor of him who runs, but of God who shows mercy”</w:t>
      </w:r>
      <w:r>
        <w:t xml:space="preserve"> </w:t>
      </w:r>
      <w:r>
        <w:t xml:space="preserve">(Romans 9:16). But the Reformed tradition does not stop with the fact of election — it insists that election produces obligation. Because God has loved Israel with a love they did not earn and could not generate, the appropriate response is not complacency but reverent awe. The gospel follows this same logic: the more clearly we understand that our salvation is rooted in God’s sovereign grace rather than our merit, the more weight our worship should carry, not less. Malachi’s confrontation with hollow worship is not a call to earn favor but a call to respond fittingly to favor already given — which is precisely the Reformed understanding of the relationship between grace and obedience. This passage, coming at the close of the Old Testament canon, sets the stage for the New Testament’s own call to worship</w:t>
      </w:r>
      <w:r>
        <w:t xml:space="preserve"> </w:t>
      </w:r>
      <w:r>
        <w:t xml:space="preserve">“in spirit and in truth”</w:t>
      </w:r>
      <w:r>
        <w:t xml:space="preserve"> </w:t>
      </w:r>
      <w:r>
        <w:t xml:space="preserve">— worship that flows from genuine encounter with God’s sovereign love rather than from the management of religious obligation.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loved you with a love you did not earn and could not have generated — a sovereign, covenant love that chose you before you had done anything to deserve it. That love is not the background to your worship; it is the reason for it, the measure of it, and the ground on which hollow worship becomes inexcusable. Stop bringing God what you can afford to lose.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opening election passage (vv. 2-5) to a history lesson.</w:t>
      </w:r>
      <w:r>
        <w:t xml:space="preserve"> </w:t>
      </w:r>
      <w:r>
        <w:t xml:space="preserve">The Jacob/Esau material is often preached as background context for what follows, when in fact it is the theological engine of the entire chapter. The indictment of defective worship in vv. 6-14 only has full force when the people have genuinely heard that God’s love for them is sovereign and undeserved. Preachers who move too quickly through vv. 2-5 to get to the</w:t>
      </w:r>
      <w:r>
        <w:t xml:space="preserve"> </w:t>
      </w:r>
      <w:r>
        <w:t xml:space="preserve">“practical”</w:t>
      </w:r>
      <w:r>
        <w:t xml:space="preserve"> </w:t>
      </w:r>
      <w:r>
        <w:t xml:space="preserve">material of vv. 6-14 undercut the very logic that makes vv. 6-14 devastating.</w:t>
      </w:r>
    </w:p>
    <w:p>
      <w:pPr>
        <w:numPr>
          <w:ilvl w:val="0"/>
          <w:numId w:val="1002"/>
        </w:numPr>
      </w:pPr>
      <w:r>
        <w:rPr>
          <w:b/>
          <w:bCs/>
        </w:rPr>
        <w:t xml:space="preserve">Moralizing the defective offerings into a stewardship sermon.</w:t>
      </w:r>
      <w:r>
        <w:t xml:space="preserve"> </w:t>
      </w:r>
      <w:r>
        <w:t xml:space="preserve">It is possible to preach Malachi 1:6-14 as a passage primarily about giving quality gifts, maintaining excellent worship facilities, or investing in production value — applications that entirely miss the point. Malachi is not calling for aesthetic excellence; he is diagnosing theological contempt. The defective animals are symptoms of hearts that have decided God is not worth the cost. Applications that stay at the symptom level will produce a tidied-up version of the same contempt.</w:t>
      </w:r>
    </w:p>
    <w:p>
      <w:pPr>
        <w:numPr>
          <w:ilvl w:val="0"/>
          <w:numId w:val="1002"/>
        </w:numPr>
      </w:pPr>
      <w:r>
        <w:rPr>
          <w:b/>
          <w:bCs/>
        </w:rPr>
        <w:t xml:space="preserve">Softening</w:t>
      </w:r>
      <w:r>
        <w:rPr>
          <w:b/>
          <w:bCs/>
        </w:rPr>
        <w:t xml:space="preserve"> </w:t>
      </w:r>
      <w:r>
        <w:rPr>
          <w:b/>
          <w:bCs/>
        </w:rPr>
        <w:t xml:space="preserve">“I hated Esau”</w:t>
      </w:r>
      <w:r>
        <w:rPr>
          <w:b/>
          <w:bCs/>
        </w:rPr>
        <w:t xml:space="preserve"> </w:t>
      </w:r>
      <w:r>
        <w:rPr>
          <w:b/>
          <w:bCs/>
        </w:rPr>
        <w:t xml:space="preserve">into something emotionally comfortable.</w:t>
      </w:r>
      <w:r>
        <w:t xml:space="preserve"> </w:t>
      </w:r>
      <w:r>
        <w:t xml:space="preserve">The temptation in many preaching contexts is to qualify the language of v. 3 (</w:t>
      </w:r>
      <w:r>
        <w:t xml:space="preserve">“hated”</w:t>
      </w:r>
      <w:r>
        <w:t xml:space="preserve">) until it disappears — to assure the congregation that God doesn’t really hate anyone, or that this is just a Semitic idiom for</w:t>
      </w:r>
      <w:r>
        <w:t xml:space="preserve"> </w:t>
      </w:r>
      <w:r>
        <w:t xml:space="preserve">“loved less.”</w:t>
      </w:r>
      <w:r>
        <w:t xml:space="preserve"> </w:t>
      </w:r>
      <w:r>
        <w:t xml:space="preserve">While the idiom of comparative preference is real (cf. Genesis 29:30-31; Luke 14:26), the preacher must not defuse the passage’s actual claim: God made a sovereign covenantal distinction, without reference to the merits of the parties involved. Softening this into something more palatable eliminates the very theological foundation the chapter is building.</w:t>
      </w:r>
    </w:p>
    <w:p>
      <w:pPr>
        <w:numPr>
          <w:ilvl w:val="0"/>
          <w:numId w:val="1002"/>
        </w:numPr>
      </w:pPr>
      <w:r>
        <w:rPr>
          <w:b/>
          <w:bCs/>
        </w:rPr>
        <w:t xml:space="preserve">Failing to connect the closing verse (v. 14) to the opening declaration of love (v. 2).</w:t>
      </w:r>
      <w:r>
        <w:t xml:space="preserve"> </w:t>
      </w:r>
      <w:r>
        <w:t xml:space="preserve">The chapter is structured as a bookend: it opens with God’s sovereign love and closes with God’s sovereign greatness. The</w:t>
      </w:r>
      <w:r>
        <w:t xml:space="preserve"> </w:t>
      </w:r>
      <w:r>
        <w:t xml:space="preserve">“great King”</w:t>
      </w:r>
      <w:r>
        <w:t xml:space="preserve"> </w:t>
      </w:r>
      <w:r>
        <w:t xml:space="preserve">of v. 14 is the same God who said</w:t>
      </w:r>
      <w:r>
        <w:t xml:space="preserve"> </w:t>
      </w:r>
      <w:r>
        <w:t xml:space="preserve">“I have loved you”</w:t>
      </w:r>
      <w:r>
        <w:t xml:space="preserve"> </w:t>
      </w:r>
      <w:r>
        <w:t xml:space="preserve">in v. 2. Preaching that presents the chapter’s trajectory as moving from love to threat misses the unity: God’s greatness is not in tension with His love — it is the reason His love is so extraordinary and His worship so weighty.</w:t>
      </w:r>
    </w:p>
    <w:p>
      <w:pPr>
        <w:numPr>
          <w:ilvl w:val="0"/>
          <w:numId w:val="1002"/>
        </w:numPr>
      </w:pPr>
      <w:r>
        <w:rPr>
          <w:b/>
          <w:bCs/>
        </w:rPr>
        <w:t xml:space="preserve">Using verse 11 as a simple missions proof-text without its corrective force.</w:t>
      </w:r>
      <w:r>
        <w:t xml:space="preserve"> </w:t>
      </w:r>
      <w:r>
        <w:t xml:space="preserve">Malachi 1:11 (</w:t>
      </w:r>
      <w:r>
        <w:t xml:space="preserve">“from the rising of the sun to its setting my name will be great among the nations”</w:t>
      </w:r>
      <w:r>
        <w:t xml:space="preserve">) is sometimes preached as a straightforward missions motivation — which it can legitimately support. But in context, it is first a rebuke: the nations will honor God’s name more than His own people currently do. Preachers should let it sting before they let it soar. The missional application is real, but it should not be extracted at the cost of the corrective force the text actually deploys.</w:t>
      </w:r>
    </w:p>
    <w:p>
      <w:pPr>
        <w:numPr>
          <w:ilvl w:val="0"/>
          <w:numId w:val="1002"/>
        </w:numPr>
      </w:pPr>
      <w:r>
        <w:rPr>
          <w:b/>
          <w:bCs/>
        </w:rPr>
        <w:t xml:space="preserve">Treating this as only a passage about the Old Testament priesthood.</w:t>
      </w:r>
      <w:r>
        <w:t xml:space="preserve"> </w:t>
      </w:r>
      <w:r>
        <w:t xml:space="preserve">The professional priests are the immediate addressees, but the disputation format (</w:t>
      </w:r>
      <w:r>
        <w:t xml:space="preserve">“how have we…?”</w:t>
      </w:r>
      <w:r>
        <w:t xml:space="preserve">) implicates the entire community — and every generation of readers who recognize themselves in the pattern. Applications that confine this passage to ancient Levitical worship practice allow modern readers to dismiss the indictment as belonging to someone else. The heart that calls worship</w:t>
      </w:r>
      <w:r>
        <w:t xml:space="preserve"> </w:t>
      </w:r>
      <w:r>
        <w:t xml:space="preserve">“a burden”</w:t>
      </w:r>
      <w:r>
        <w:t xml:space="preserve"> </w:t>
      </w:r>
      <w:r>
        <w:t xml:space="preserve">is not a problem the priesthood solved; it is a condition every generation of God’s people must confront.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2026-07-14T21:07:01Z</dcterms:created>
  <dcterms:modified xsi:type="dcterms:W3CDTF">2026-07-14T21:07:01Z</dcterms:modified>
</cp:coreProperties>
</file>

<file path=docProps/custom.xml><?xml version="1.0" encoding="utf-8"?>
<Properties xmlns="http://schemas.openxmlformats.org/officeDocument/2006/custom-properties" xmlns:vt="http://schemas.openxmlformats.org/officeDocument/2006/docPropsVTypes"/>
</file>